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方正小标宋简体" w:hAnsi="Times New Roman" w:eastAsia="方正小标宋简体" w:cs="方正小标宋简体"/>
          <w:bCs/>
          <w:sz w:val="44"/>
          <w:szCs w:val="44"/>
        </w:rPr>
      </w:pPr>
      <w:r>
        <w:rPr>
          <w:rFonts w:hint="eastAsia" w:ascii="方正小标宋简体" w:hAnsi="Times New Roman" w:eastAsia="方正小标宋简体" w:cs="方正小标宋简体"/>
          <w:bCs/>
          <w:sz w:val="44"/>
          <w:szCs w:val="44"/>
        </w:rPr>
        <w:t>大厂回族自治县人民代表大会常务委员会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中华人民共和国预算法</w:t>
      </w:r>
      <w:r>
        <w:rPr>
          <w:rFonts w:ascii="Times New Roman" w:hAnsi="Times New Roman" w:eastAsia="仿宋_GB2312" w:cs="Times New Roman"/>
          <w:sz w:val="32"/>
          <w:szCs w:val="32"/>
        </w:rPr>
        <w:t>》、《地方预决算公开操作规程》和《河北省省级预算公开办法》规定，现将</w:t>
      </w:r>
      <w:r>
        <w:rPr>
          <w:rFonts w:hint="eastAsia" w:ascii="Times New Roman" w:hAnsi="Times New Roman" w:eastAsia="仿宋_GB2312" w:cs="Times New Roman"/>
          <w:sz w:val="32"/>
          <w:szCs w:val="32"/>
        </w:rPr>
        <w:t>大厂回族自治县人民代表大会常务委员会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按照《地方组织法》的有关规定，县人大常委会的主要职能是：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（一）在全县行政区域内，保证宪法、法律、行政法规和上级人民代表大会及其常务委员会决议的遵守和执行；</w:t>
      </w:r>
      <w:bookmarkStart w:id="2" w:name="_GoBack"/>
      <w:bookmarkEnd w:id="2"/>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（二）领导县、乡人民代表大会代表的选举；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（三）召集县人民代表大会会议；</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（四）讨论、决定本行政区域内的政治、经济、教育、科学、文化、卫生、环境和资源保护、民政、民族等工作的重大事项；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（五）根据人民政府的建议，决定本行政区域内的国民经济和社会发展计划、预算的部分变更；</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（六）依法监督县人民政府、人民法院和人民检察院的工作，联系县人民代表大会代表，受理人民群众对上述机关和国家工作人员的申诉和意见；</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（七）撤销乡镇人民代表大会不适当的决议；</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（八）撤销县人民政府的不适当的决定和命令；</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（九）在县人民代表大会闭幕期间，依法任免“一府两院”和县人大常委会机关工作人员；</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（十）在县人民代表大会闭幕期间，补选市、县人民代表大会出席的代表和罢免个别代表；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（十一）决定授予地方的荣誉称号；</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（十二）县人民代表大会授权常务委员会决定的其他事项。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仿宋_GB2312" w:hAnsi="Times New Roman" w:eastAsia="仿宋_GB2312" w:cs="Times New Roman"/>
              </w:rPr>
            </w:pPr>
            <w:r>
              <w:rPr>
                <w:rFonts w:hint="eastAsia" w:ascii="仿宋_GB2312" w:hAnsi="宋体" w:eastAsia="仿宋_GB2312" w:cs="宋体"/>
              </w:rPr>
              <w:t>大厂回族自治县人民代表大会常务委员会</w:t>
            </w:r>
          </w:p>
        </w:tc>
        <w:tc>
          <w:tcPr>
            <w:tcW w:w="1134"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宋体" w:eastAsia="仿宋_GB2312" w:cs="宋体"/>
              </w:rPr>
              <w:t>财政拨款（行政）</w:t>
            </w:r>
          </w:p>
        </w:tc>
        <w:tc>
          <w:tcPr>
            <w:tcW w:w="1276"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方正书宋_GBK"/>
              </w:rPr>
              <w:t>正处级</w:t>
            </w:r>
          </w:p>
        </w:tc>
        <w:tc>
          <w:tcPr>
            <w:tcW w:w="2902"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方正书宋_GBK"/>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按照预算管理有关规定，目前我部门预算的编制实行综合预算制度，即全部收入和支出都反映在预算中。</w:t>
      </w:r>
      <w:r>
        <w:rPr>
          <w:rFonts w:hint="eastAsia" w:ascii="Times New Roman" w:hAnsi="Times New Roman" w:eastAsia="仿宋_GB2312" w:cs="Times New Roman"/>
          <w:sz w:val="32"/>
          <w:szCs w:val="32"/>
        </w:rPr>
        <w:t>我部门无下属单位，部门全部收支包含在部门预算中。</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1016.98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1016.98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1016.98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920.12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810.92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109.2</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96.86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《人大工作通讯》编印经费、《人大工作期刊》编印经费、备案审查信息平台运行维护费、代表活动经费、代表联络站运行经费、代表中心站管理工作经费、立法工作经费、人大网站运行维护费、人代会经费</w:t>
      </w:r>
      <w:r>
        <w:rPr>
          <w:rFonts w:ascii="Times New Roman" w:hAnsi="Times New Roman" w:eastAsia="仿宋_GB2312" w:cs="Times New Roman"/>
          <w:sz w:val="32"/>
          <w:szCs w:val="32"/>
        </w:rPr>
        <w:t>等。</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1016.98</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减少51.67万</w:t>
      </w:r>
      <w:r>
        <w:rPr>
          <w:rFonts w:ascii="Times New Roman" w:hAnsi="Times New Roman" w:eastAsia="仿宋_GB2312" w:cs="Times New Roman"/>
          <w:sz w:val="32"/>
          <w:szCs w:val="32"/>
        </w:rPr>
        <w:t>元，其中：基本支出增加</w:t>
      </w:r>
      <w:r>
        <w:rPr>
          <w:rFonts w:hint="eastAsia" w:ascii="Times New Roman" w:hAnsi="Times New Roman" w:eastAsia="仿宋_GB2312" w:cs="Times New Roman"/>
          <w:sz w:val="32"/>
          <w:szCs w:val="32"/>
        </w:rPr>
        <w:t>18.47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增加人员经费支出34.38万元，日常公用经费支出减少15.91万元；</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减少70.14万</w:t>
      </w:r>
      <w:r>
        <w:rPr>
          <w:rFonts w:ascii="Times New Roman" w:hAnsi="Times New Roman" w:eastAsia="仿宋_GB2312" w:cs="Times New Roman"/>
          <w:sz w:val="32"/>
          <w:szCs w:val="32"/>
        </w:rPr>
        <w:t>元，主要为</w:t>
      </w:r>
      <w:r>
        <w:rPr>
          <w:rFonts w:hint="eastAsia" w:ascii="Times New Roman" w:hAnsi="Times New Roman" w:eastAsia="仿宋_GB2312" w:cs="Times New Roman"/>
          <w:sz w:val="32"/>
          <w:szCs w:val="32"/>
        </w:rPr>
        <w:t>代表活动经费、代表联络站运行经费、代表中心站管理工作经费、人大网站运行维护费、县人代会经费、全民大培训工作经费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60"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139.2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日常维修、印刷费，邮电费、差旅费、会议费、福利费、日常维护费、水电费、办公用房取暖费、公务用车运行维护费等日常运行支出。</w:t>
      </w:r>
    </w:p>
    <w:p>
      <w:pPr>
        <w:autoSpaceDE w:val="0"/>
        <w:autoSpaceDN w:val="0"/>
        <w:adjustRightInd w:val="0"/>
        <w:spacing w:line="584" w:lineRule="exact"/>
        <w:ind w:firstLine="630" w:firstLineChars="196"/>
        <w:jc w:val="left"/>
        <w:rPr>
          <w:rFonts w:ascii="黑体" w:hAnsi="黑体" w:eastAsia="黑体" w:cs="Times New Roman"/>
          <w:sz w:val="32"/>
          <w:szCs w:val="32"/>
        </w:rPr>
      </w:pPr>
      <w:r>
        <w:rPr>
          <w:rFonts w:hint="eastAsia" w:ascii="Times New Roman" w:hAnsi="Times New Roman" w:eastAsia="仿宋_GB2312" w:cs="Times New Roman"/>
          <w:b/>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11.2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11.2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年相比持平，无增减变化；公务接待费减</w:t>
      </w:r>
      <w:r>
        <w:rPr>
          <w:rFonts w:hint="eastAsia" w:ascii="Times New Roman" w:hAnsi="Times New Roman" w:eastAsia="仿宋_GB2312" w:cs="Times New Roman"/>
          <w:sz w:val="32"/>
          <w:szCs w:val="32"/>
        </w:rPr>
        <w:t>少5万元，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完善自治地方法规体系。紧紧围绕民族团结、生态优先的总原则和文化产业、全域旅游两大抓手，加快推进《大厂回族自治县环境保护条例》和《大厂回族自治县全域旅游条例》的宣传工作，完善自治地方法规体系，以良法促发展、保善治。</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2、依法决定重大事项。要着眼加快建设经济强县、美丽大厂的战略部署，及时就县委重点决策、政府着力推进的重大事项依法作出决定。</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3、改进文风会风，提高常委会议事质量。常委会会议议题要在听取群众意见的基础上依法确定，加强会前的视察调研，严格落实议事规则，完善审议程序，切实提出有针对性的意见建议。</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4、做好会议的服务保障工作，确保会议顺利进行，达到预期目标。</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5、发挥好常委会组成人员、专门委员会委员和代表的履职积极性。密切对代表的联系，组织专门委员会成员、代表列席常委会会议，坚持向代表通报常委会会议情况。</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6、加强对权力运行的制约监督，推动县委重大决策部署的贯彻落实。围绕新时代经济强县、美丽大厂中的重大问题和人民群众关注的热点难点问题，听取审议专项工作报告，开展执法检查、视察调研。</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依法行使选举任免权。要坚持把党管干部和人大依法任免有机统一，严格任免程序，依法选举、任免地方国家机关工作人员，确保县委人事安排圆满实现。同时，深化任后履职监督，有计划地安排述职评议工作，促进国家机关工作人员依法行政、秉公执法、廉洁勤政。</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8、全面推进机关思想建设、组织建设、作风建设、制度建设和廉政建设，提高机关管理的科学化水平。</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立法方面：按照大厂县第十六届人大常委会五年立法规划和2019年立法计划。对新立和拟进行修订的法规进行立法调研。对现行有效的地方性法规进行认真梳理，查找与科学发展不适应、不一致、不协调的问题，及时进行废止或修改。促进立法交流与合作，提高立法人员业务水平，促进立法工作的科学化、民主化，不断提高立法质量和水平。</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监督方面：听取计划预算执行情况报告、决算报告和审计工作报告，审查批准决算，推动县人代会计划预算决议的落实。听取县政府专项工作报告。对社会普遍关心的问题组织开展专题询问。组织开展代表旁听评议人民法院庭审活动，督促司法机关完善内部监督制约机制，促进司法公正。提高法规质量，保障其有效实施；发挥常委及代表的桥梁纽带作用，集中反映民意，促进依法履职。</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3、人大会议方面：确保会议按照议程顺利进行，达到预期目的，圆满完成各项任务。完善各项会议制度，规范会议程序，提高会议质量，提高人大代表及常委会审议水平。</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人事任免方面：严格遵循法律法规规定，严格规范工作程序，做好人事任免工作。确保县乡人大换届选举工作顺利完成，提高组织换届选举工作水平；高质量完成国家机关领导人选举和常委会人事任免服务工作；高效督办有关部门负责人的目标责任书和述职报告。</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人大事务管理方面：（1）保障新闻宣传与新闻发布工作正常开展，提高人大信息透明度和影响力，加强人大对内、对外交流。保障会议表决系统正常运转；网络与办公平台正常运行；促进社会和谐稳定。（2）机关基础设施设备正常运转，信息化保障、老干部服务保障能力进一步提高。</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1、按照五年立法规划和2020年工作计划，认真搞好立法调研，使立法更加切合我县实际，让出台的法律法规更接地气、更具可操作性。</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2、进一步提高执法检查和执法调研的质量，提高执法检查和执法调研的效果，促进我县经济和社会又好又快发展。</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3、进一步加强人大的监督工作，确保宪法和法律在我县范围内有效实施。</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4、改善和加强工作评议和专题询问工作，使一府两院的工作始终在法治的框架内运行。</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5、进一步加强代表工作，保证代表依法履职。</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6、进一步完善会议的组织和筹备工作，使会议高效、节俭，按照既定程序有序进行。</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7、进一步完善机关后勤服务工作，为机关正常运转提供有力的保障。</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2" w:firstLineChars="200"/>
        <w:jc w:val="left"/>
        <w:outlineLvl w:val="1"/>
        <w:rPr>
          <w:rFonts w:ascii="楷体" w:hAnsi="楷体" w:eastAsia="楷体" w:cs="Times New Roman"/>
          <w:b/>
          <w:sz w:val="28"/>
        </w:rPr>
      </w:pPr>
      <w:r>
        <w:rPr>
          <w:rFonts w:ascii="楷体" w:hAnsi="楷体" w:eastAsia="楷体" w:cs="Times New Roman"/>
          <w:b/>
          <w:sz w:val="28"/>
        </w:rPr>
        <w:t>1.</w:t>
      </w:r>
      <w:r>
        <w:rPr>
          <w:rFonts w:hint="eastAsia" w:ascii="楷体" w:hAnsi="楷体" w:eastAsia="楷体" w:cs="Times New Roman"/>
          <w:b/>
          <w:sz w:val="28"/>
        </w:rPr>
        <w:t>《大厂人大》编印工作经费</w:t>
      </w:r>
      <w:r>
        <w:rPr>
          <w:rFonts w:ascii="楷体" w:hAnsi="楷体" w:eastAsia="楷体" w:cs="Times New Roman"/>
          <w:b/>
          <w:sz w:val="28"/>
        </w:rPr>
        <w:t>绩效目标表</w:t>
      </w:r>
      <w:r>
        <w:rPr>
          <w:rFonts w:ascii="楷体" w:hAnsi="楷体" w:eastAsia="楷体" w:cs="Times New Roman"/>
          <w:b/>
          <w:sz w:val="28"/>
        </w:rPr>
        <w:fldChar w:fldCharType="begin"/>
      </w:r>
      <w:r>
        <w:rPr>
          <w:rFonts w:ascii="楷体" w:hAnsi="楷体" w:eastAsia="楷体" w:cs="Times New Roman"/>
          <w:b/>
          <w:sz w:val="28"/>
        </w:rPr>
        <w:instrText xml:space="preserve"> TC </w:instrText>
      </w:r>
      <w:bookmarkStart w:id="0" w:name="_Toc29799657"/>
      <w:r>
        <w:rPr>
          <w:rFonts w:ascii="楷体" w:hAnsi="楷体" w:eastAsia="楷体" w:cs="Times New Roman"/>
          <w:b/>
          <w:sz w:val="28"/>
        </w:rPr>
        <w:instrText xml:space="preserve">2、办公自动化（OA）和督查督办系统升级及推广费绩效目标表</w:instrText>
      </w:r>
      <w:bookmarkEnd w:id="0"/>
      <w:r>
        <w:rPr>
          <w:rFonts w:ascii="楷体" w:hAnsi="楷体" w:eastAsia="楷体" w:cs="Times New Roman"/>
          <w:b/>
          <w:sz w:val="28"/>
        </w:rPr>
        <w:instrText xml:space="preserve"> \f C \l 1 </w:instrText>
      </w:r>
      <w:r>
        <w:rPr>
          <w:rFonts w:ascii="楷体" w:hAnsi="楷体" w:eastAsia="楷体" w:cs="Times New Roman"/>
          <w:b/>
          <w:sz w:val="28"/>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highlight w:val="yellow"/>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1、通过前期广泛调研，收集材料，完成《大厂人大》编修、发行工作，民主政治建设更加深入开展，对传承人大工作、服务经济发展具有重要意义。</w:t>
            </w:r>
          </w:p>
          <w:p>
            <w:pPr>
              <w:spacing w:line="300" w:lineRule="exact"/>
              <w:jc w:val="left"/>
              <w:rPr>
                <w:rFonts w:ascii="Times New Roman" w:hAnsi="Times New Roman" w:eastAsia="仿宋_GB2312" w:cs="Times New Roman"/>
                <w:b/>
                <w:highlight w:val="yellow"/>
              </w:rPr>
            </w:pPr>
            <w:r>
              <w:rPr>
                <w:rFonts w:hint="eastAsia" w:ascii="Times New Roman" w:hAnsi="Times New Roman" w:eastAsia="仿宋_GB2312" w:cs="Times New Roman"/>
              </w:rPr>
              <w:t>2、通过前期广泛调研，收集材料，完成《大厂人大》编修、发行工作，民主政治建设更加深入开展，对传承人大工作、服务经济发展具有重要意义。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发行数量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3000</w:t>
            </w:r>
            <w:r>
              <w:rPr>
                <w:rFonts w:hint="eastAsia" w:ascii="Times New Roman" w:hAnsi="Times New Roman" w:eastAsia="仿宋_GB2312" w:cs="Times New Roman"/>
              </w:rPr>
              <w:t>本</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如期完成大厂人大编修</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w:t>
            </w:r>
            <w:r>
              <w:rPr>
                <w:rFonts w:ascii="Times New Roman" w:hAnsi="Times New Roman" w:eastAsia="仿宋_GB2312" w:cs="Times New Roman"/>
              </w:rPr>
              <w:t>2020</w:t>
            </w:r>
            <w:r>
              <w:rPr>
                <w:rFonts w:hint="eastAsia" w:ascii="Times New Roman" w:hAnsi="Times New Roman" w:eastAsia="仿宋_GB2312" w:cs="Times New Roman"/>
              </w:rPr>
              <w:t>年</w:t>
            </w:r>
            <w:r>
              <w:rPr>
                <w:rFonts w:ascii="Times New Roman" w:hAnsi="Times New Roman" w:eastAsia="仿宋_GB2312" w:cs="Times New Roman"/>
              </w:rPr>
              <w:t>8</w:t>
            </w:r>
            <w:r>
              <w:rPr>
                <w:rFonts w:hint="eastAsia" w:ascii="Times New Roman" w:hAnsi="Times New Roman" w:eastAsia="仿宋_GB2312" w:cs="Times New Roman"/>
              </w:rPr>
              <w:t>月底前出版发行</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8</w:t>
            </w:r>
            <w:r>
              <w:rPr>
                <w:rFonts w:hint="eastAsia" w:ascii="Times New Roman" w:hAnsi="Times New Roman" w:eastAsia="仿宋_GB2312" w:cs="Times New Roman"/>
              </w:rPr>
              <w:t>月份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总成本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年度总成本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20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阅读率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《大厂人大》阅读人数占发行人数的比率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综合满意度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ind w:firstLine="562" w:firstLineChars="200"/>
        <w:jc w:val="left"/>
        <w:outlineLvl w:val="1"/>
        <w:rPr>
          <w:rFonts w:ascii="楷体" w:hAnsi="楷体" w:eastAsia="楷体" w:cs="Times New Roman"/>
          <w:b/>
          <w:sz w:val="28"/>
        </w:rPr>
      </w:pPr>
      <w:r>
        <w:rPr>
          <w:rFonts w:ascii="楷体" w:hAnsi="楷体" w:eastAsia="楷体" w:cs="Times New Roman"/>
          <w:b/>
          <w:sz w:val="28"/>
        </w:rPr>
        <w:t>2.</w:t>
      </w:r>
      <w:r>
        <w:rPr>
          <w:rFonts w:hint="eastAsia" w:ascii="楷体" w:hAnsi="楷体" w:eastAsia="楷体" w:cs="Times New Roman"/>
          <w:b/>
          <w:sz w:val="28"/>
        </w:rPr>
        <w:t>《人大工作期刊》编印经费</w:t>
      </w:r>
      <w:r>
        <w:rPr>
          <w:rFonts w:ascii="楷体" w:hAnsi="楷体" w:eastAsia="楷体" w:cs="Times New Roman"/>
          <w:b/>
          <w:sz w:val="28"/>
        </w:rPr>
        <w:t>绩效目标表</w:t>
      </w:r>
      <w:r>
        <w:rPr>
          <w:rFonts w:ascii="楷体" w:hAnsi="楷体" w:eastAsia="楷体" w:cs="Times New Roman"/>
          <w:b/>
          <w:sz w:val="28"/>
        </w:rPr>
        <w:fldChar w:fldCharType="begin"/>
      </w:r>
      <w:r>
        <w:rPr>
          <w:rFonts w:ascii="楷体" w:hAnsi="楷体" w:eastAsia="楷体" w:cs="Times New Roman"/>
          <w:b/>
          <w:sz w:val="28"/>
        </w:rPr>
        <w:instrText xml:space="preserve"> TC 2、办公自动化（OA）和督查督办系统升级及推广费绩效目标表 \f C \l 1 </w:instrText>
      </w:r>
      <w:r>
        <w:rPr>
          <w:rFonts w:ascii="楷体" w:hAnsi="楷体" w:eastAsia="楷体" w:cs="Times New Roman"/>
          <w:b/>
          <w:sz w:val="28"/>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、通过期刊的发行，不断提升社会认同度和参与度。</w:t>
            </w:r>
          </w:p>
          <w:p>
            <w:pPr>
              <w:spacing w:line="300" w:lineRule="exac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、通过期刊的发行，不断提升社会认同度和参与度。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本数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印制本数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300</w:t>
            </w:r>
            <w:r>
              <w:rPr>
                <w:rFonts w:hint="eastAsia" w:ascii="Times New Roman" w:hAnsi="Times New Roman" w:eastAsia="仿宋_GB2312" w:cs="Times New Roman"/>
              </w:rPr>
              <w:t>本</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总成本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年度总成本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4</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产品完好率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产品完好数量占所有数量的百分比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每期完成时间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30</w:t>
            </w:r>
            <w:r>
              <w:rPr>
                <w:rFonts w:hint="eastAsia" w:ascii="Times New Roman" w:hAnsi="Times New Roman" w:eastAsia="仿宋_GB2312" w:cs="Times New Roman"/>
              </w:rPr>
              <w:t>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知晓率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发放范围人员知晓率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综合满意度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发放范围人员满意度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调查问卷</w:t>
            </w:r>
          </w:p>
        </w:tc>
      </w:tr>
    </w:tbl>
    <w:p>
      <w:pPr>
        <w:ind w:firstLine="562" w:firstLineChars="200"/>
        <w:jc w:val="left"/>
        <w:outlineLvl w:val="1"/>
        <w:rPr>
          <w:rFonts w:ascii="Times New Roman" w:hAnsi="Times New Roman" w:eastAsia="仿宋_GB2312" w:cs="Times New Roman"/>
        </w:rPr>
      </w:pPr>
      <w:r>
        <w:rPr>
          <w:rFonts w:hint="eastAsia" w:ascii="楷体" w:hAnsi="楷体" w:eastAsia="楷体" w:cs="Times New Roman"/>
          <w:b/>
          <w:sz w:val="28"/>
        </w:rPr>
        <w:t>3</w:t>
      </w:r>
      <w:r>
        <w:rPr>
          <w:rFonts w:ascii="楷体" w:hAnsi="楷体" w:eastAsia="楷体" w:cs="Times New Roman"/>
          <w:b/>
          <w:sz w:val="28"/>
        </w:rPr>
        <w:t>.</w:t>
      </w:r>
      <w:r>
        <w:rPr>
          <w:rFonts w:hint="eastAsia" w:ascii="楷体" w:hAnsi="楷体" w:eastAsia="楷体" w:cs="Times New Roman"/>
          <w:b/>
          <w:sz w:val="28"/>
        </w:rPr>
        <w:t>备案审查信息平台运行维护费</w:t>
      </w:r>
      <w:r>
        <w:rPr>
          <w:rFonts w:ascii="楷体" w:hAnsi="楷体" w:eastAsia="楷体" w:cs="Times New Roman"/>
          <w:b/>
          <w:sz w:val="28"/>
        </w:rPr>
        <w:t>绩效目标表</w:t>
      </w:r>
      <w:r>
        <w:rPr>
          <w:rFonts w:ascii="Times New Roman" w:hAnsi="Times New Roman" w:eastAsia="仿宋_GB2312" w:cs="Times New Roman"/>
        </w:rPr>
        <w:fldChar w:fldCharType="begin"/>
      </w:r>
      <w:r>
        <w:rPr>
          <w:rFonts w:ascii="Times New Roman" w:hAnsi="Times New Roman" w:eastAsia="仿宋_GB2312" w:cs="Times New Roman"/>
        </w:rPr>
        <w:instrText xml:space="preserve"> TC 2、办公自动化（OA）和督查督办系统升级及推广费绩效目标表 \f C \l 1 </w:instrText>
      </w:r>
      <w:r>
        <w:rPr>
          <w:rFonts w:ascii="Times New Roman" w:hAnsi="Times New Roman" w:eastAsia="仿宋_GB2312" w:cs="Times New Roman"/>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highlight w:val="yellow"/>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、河北省人大常委会办公厅关于完善备案审查平台建设工作的通知，摘要：我省各地平台建设费用由省人大常委会统一出资，但各地平台建成后，每年运行维护费用需各地自行承担。</w:t>
            </w:r>
          </w:p>
          <w:p>
            <w:pPr>
              <w:spacing w:line="300" w:lineRule="exact"/>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）完成备案审查平台维护；（</w:t>
            </w:r>
            <w:r>
              <w:rPr>
                <w:rFonts w:ascii="Times New Roman" w:hAnsi="Times New Roman" w:eastAsia="仿宋_GB2312" w:cs="Times New Roman"/>
              </w:rPr>
              <w:t>2</w:t>
            </w:r>
            <w:r>
              <w:rPr>
                <w:rFonts w:hint="eastAsia" w:ascii="Times New Roman" w:hAnsi="Times New Roman" w:eastAsia="仿宋_GB2312" w:cs="Times New Roman"/>
              </w:rPr>
              <w:t>）保障平台正常运转，为立法业务开展提供支撑；（</w:t>
            </w:r>
            <w:r>
              <w:rPr>
                <w:rFonts w:ascii="Times New Roman" w:hAnsi="Times New Roman" w:eastAsia="仿宋_GB2312" w:cs="Times New Roman"/>
              </w:rPr>
              <w:t>3</w:t>
            </w:r>
            <w:r>
              <w:rPr>
                <w:rFonts w:hint="eastAsia" w:ascii="Times New Roman" w:hAnsi="Times New Roman" w:eastAsia="仿宋_GB2312" w:cs="Times New Roman"/>
              </w:rPr>
              <w:t>）提高立法工作效率，加强人大信息化建设。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平台维护数量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平台维护数量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套</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河北省人大常委会办公厅关于完善备案审查平台建设工作的通知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总成本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年度总成本</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省人大统签合同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月份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省人大统签合同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综合满意度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使用人员对备案审查平台的满意程度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问卷调查</w:t>
            </w:r>
          </w:p>
        </w:tc>
      </w:tr>
    </w:tbl>
    <w:p>
      <w:pPr>
        <w:ind w:firstLine="562" w:firstLineChars="200"/>
        <w:jc w:val="left"/>
        <w:outlineLvl w:val="1"/>
        <w:rPr>
          <w:rFonts w:ascii="楷体" w:hAnsi="楷体" w:eastAsia="楷体" w:cs="Times New Roman"/>
          <w:b/>
          <w:sz w:val="28"/>
        </w:rPr>
      </w:pPr>
      <w:r>
        <w:rPr>
          <w:rFonts w:hint="eastAsia" w:ascii="楷体" w:hAnsi="楷体" w:eastAsia="楷体" w:cs="Times New Roman"/>
          <w:b/>
          <w:sz w:val="28"/>
        </w:rPr>
        <w:t>4</w:t>
      </w:r>
      <w:r>
        <w:rPr>
          <w:rFonts w:ascii="楷体" w:hAnsi="楷体" w:eastAsia="楷体" w:cs="Times New Roman"/>
          <w:b/>
          <w:sz w:val="28"/>
        </w:rPr>
        <w:t>.</w:t>
      </w:r>
      <w:r>
        <w:rPr>
          <w:rFonts w:hint="eastAsia" w:ascii="楷体" w:hAnsi="楷体" w:eastAsia="楷体" w:cs="Times New Roman"/>
          <w:b/>
          <w:sz w:val="28"/>
        </w:rPr>
        <w:t>代表活动经费</w:t>
      </w:r>
      <w:r>
        <w:rPr>
          <w:rFonts w:ascii="楷体" w:hAnsi="楷体" w:eastAsia="楷体" w:cs="Times New Roman"/>
          <w:b/>
          <w:sz w:val="28"/>
        </w:rPr>
        <w:t>绩效目标表</w:t>
      </w:r>
      <w:r>
        <w:rPr>
          <w:rFonts w:ascii="楷体" w:hAnsi="楷体" w:eastAsia="楷体" w:cs="Times New Roman"/>
          <w:b/>
          <w:sz w:val="28"/>
        </w:rPr>
        <w:fldChar w:fldCharType="begin"/>
      </w:r>
      <w:r>
        <w:rPr>
          <w:rFonts w:ascii="楷体" w:hAnsi="楷体" w:eastAsia="楷体" w:cs="Times New Roman"/>
          <w:b/>
          <w:sz w:val="28"/>
        </w:rPr>
        <w:instrText xml:space="preserve"> TC 2、办公自动化（OA）和督查督办系统升级及推广费绩效目标表 \f C \l 1 </w:instrText>
      </w:r>
      <w:r>
        <w:rPr>
          <w:rFonts w:ascii="楷体" w:hAnsi="楷体" w:eastAsia="楷体" w:cs="Times New Roman"/>
          <w:b/>
          <w:sz w:val="28"/>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仿宋_GB2312" w:eastAsia="仿宋_GB2312"/>
              </w:rPr>
            </w:pPr>
            <w:r>
              <w:rPr>
                <w:rFonts w:hint="eastAsia" w:ascii="仿宋_GB2312" w:eastAsia="仿宋_GB2312"/>
              </w:rPr>
              <w:t>1、完成全年代表培训工作；开展人大常委会安排的人大代表常规视察活动</w:t>
            </w:r>
          </w:p>
          <w:p>
            <w:pPr>
              <w:spacing w:line="300" w:lineRule="exact"/>
              <w:rPr>
                <w:rFonts w:ascii="仿宋_GB2312" w:hAnsi="Times New Roman" w:eastAsia="仿宋_GB2312" w:cs="Times New Roman"/>
                <w:b/>
              </w:rPr>
            </w:pPr>
            <w:r>
              <w:rPr>
                <w:rFonts w:hint="eastAsia" w:ascii="仿宋_GB2312" w:eastAsia="仿宋_GB2312"/>
              </w:rPr>
              <w:t>2、1、组织代表外出学习培训；2、提高培训效率，报刊订阅率达到全覆盖，人大代表视察活动按时开展；3、加强改进培训工作，培养高素质人大代表。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培训人数</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每批培训人数控制在50人以内，两批控制培训人数100人</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≤100人</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报刊数量</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每年为我县人大代表订阅报刊</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≤140人</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驻我县镇级以上人大代表名单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合格率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参训人员培训后考核，发放结业证书。</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完好率</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报刊发放到代表手里完好率</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于明年6月底培训一次</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于明年6月底培训一次</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≤6月份</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于明年11月底培训一次</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于明年11月底培训一次</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≤11月份</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总成本</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年度总成本</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17万元</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代表提案数量</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代表提案数量较上年代表提案数量的比率</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≥5百分比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综合表满意度</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参训代表对培训等活动的满意度</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调查问卷</w:t>
            </w:r>
          </w:p>
        </w:tc>
      </w:tr>
    </w:tbl>
    <w:p>
      <w:pPr>
        <w:ind w:firstLine="562" w:firstLineChars="200"/>
        <w:jc w:val="left"/>
        <w:outlineLvl w:val="1"/>
        <w:rPr>
          <w:rFonts w:ascii="楷体" w:hAnsi="楷体" w:eastAsia="楷体" w:cs="Times New Roman"/>
          <w:b/>
          <w:sz w:val="28"/>
        </w:rPr>
      </w:pPr>
      <w:r>
        <w:rPr>
          <w:rFonts w:hint="eastAsia" w:ascii="楷体" w:hAnsi="楷体" w:eastAsia="楷体" w:cs="Times New Roman"/>
          <w:b/>
          <w:sz w:val="28"/>
        </w:rPr>
        <w:t>5</w:t>
      </w:r>
      <w:r>
        <w:rPr>
          <w:rFonts w:ascii="楷体" w:hAnsi="楷体" w:eastAsia="楷体" w:cs="Times New Roman"/>
          <w:b/>
          <w:sz w:val="28"/>
        </w:rPr>
        <w:t>.</w:t>
      </w:r>
      <w:r>
        <w:rPr>
          <w:rFonts w:hint="eastAsia" w:ascii="楷体" w:hAnsi="楷体" w:eastAsia="楷体" w:cs="Times New Roman"/>
          <w:b/>
          <w:sz w:val="28"/>
        </w:rPr>
        <w:t>代表联络站运行经费</w:t>
      </w:r>
      <w:r>
        <w:rPr>
          <w:rFonts w:ascii="楷体" w:hAnsi="楷体" w:eastAsia="楷体" w:cs="Times New Roman"/>
          <w:b/>
          <w:sz w:val="28"/>
        </w:rPr>
        <w:t>绩效目标表</w:t>
      </w:r>
      <w:r>
        <w:rPr>
          <w:rFonts w:ascii="楷体" w:hAnsi="楷体" w:eastAsia="楷体" w:cs="Times New Roman"/>
          <w:b/>
          <w:sz w:val="28"/>
        </w:rPr>
        <w:fldChar w:fldCharType="begin"/>
      </w:r>
      <w:r>
        <w:rPr>
          <w:rFonts w:ascii="楷体" w:hAnsi="楷体" w:eastAsia="楷体" w:cs="Times New Roman"/>
          <w:b/>
          <w:sz w:val="28"/>
        </w:rPr>
        <w:instrText xml:space="preserve"> TC 2、办公自动化（OA）和督查督办系统升级及推广费绩效目标表 \f C \l 1 </w:instrText>
      </w:r>
      <w:r>
        <w:rPr>
          <w:rFonts w:ascii="楷体" w:hAnsi="楷体" w:eastAsia="楷体" w:cs="Times New Roman"/>
          <w:b/>
          <w:sz w:val="28"/>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仿宋_GB2312" w:eastAsia="仿宋_GB2312"/>
              </w:rPr>
            </w:pPr>
            <w:r>
              <w:rPr>
                <w:rFonts w:hint="eastAsia" w:ascii="仿宋_GB2312" w:eastAsia="仿宋_GB2312"/>
              </w:rPr>
              <w:t>1、确保人大代表联络站有计划、分步骤、常态化地开展工作；每个人大代表联络站每2个月至少组织人大代表活动一次，每周接待选民一次。</w:t>
            </w:r>
          </w:p>
          <w:p>
            <w:pPr>
              <w:spacing w:line="300" w:lineRule="exact"/>
              <w:rPr>
                <w:rFonts w:ascii="仿宋_GB2312" w:hAnsi="Times New Roman" w:eastAsia="仿宋_GB2312" w:cs="Times New Roman"/>
                <w:b/>
              </w:rPr>
            </w:pPr>
            <w:r>
              <w:rPr>
                <w:rFonts w:hint="eastAsia" w:ascii="仿宋_GB2312" w:eastAsia="仿宋_GB2312"/>
              </w:rPr>
              <w:t>2、确保人大代表联络站有计划、分步骤、常态化地开展工作；每个人大代表联络站每2个月至少组织人大代表活动一次，每周接待选民一次。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上站次数安排</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县领导每季度集中上站一次，日常上站安排每两月一次</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≥6次</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全年接待选民数量</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联络站全年接待选民数量</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≥600人次</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答复选民意见时限</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对于选民提出的意见建议，第一时间内交办相关部门，办理答复。</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≤30日</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按时上站接待选民</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上站月10号上站</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10日</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eastAsia="仿宋_GB2312"/>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eastAsia="仿宋_GB2312"/>
              </w:rPr>
            </w:pPr>
            <w:r>
              <w:rPr>
                <w:rFonts w:hint="eastAsia" w:ascii="仿宋_GB2312" w:eastAsia="仿宋_GB2312"/>
              </w:rPr>
              <w:t>总成本</w:t>
            </w:r>
          </w:p>
        </w:tc>
        <w:tc>
          <w:tcPr>
            <w:tcW w:w="3402" w:type="dxa"/>
            <w:shd w:val="clear" w:color="auto" w:fill="auto"/>
            <w:vAlign w:val="center"/>
          </w:tcPr>
          <w:p>
            <w:pPr>
              <w:spacing w:line="300" w:lineRule="exact"/>
              <w:jc w:val="left"/>
              <w:rPr>
                <w:rFonts w:ascii="仿宋_GB2312" w:eastAsia="仿宋_GB2312"/>
              </w:rPr>
            </w:pPr>
            <w:r>
              <w:rPr>
                <w:rFonts w:hint="eastAsia" w:ascii="仿宋_GB2312" w:eastAsia="仿宋_GB2312"/>
              </w:rPr>
              <w:t>年度总成本</w:t>
            </w:r>
          </w:p>
        </w:tc>
        <w:tc>
          <w:tcPr>
            <w:tcW w:w="1843" w:type="dxa"/>
            <w:shd w:val="clear" w:color="auto" w:fill="auto"/>
            <w:vAlign w:val="center"/>
          </w:tcPr>
          <w:p>
            <w:pPr>
              <w:spacing w:line="300" w:lineRule="exact"/>
              <w:jc w:val="left"/>
              <w:rPr>
                <w:rFonts w:ascii="仿宋_GB2312" w:eastAsia="仿宋_GB2312"/>
              </w:rPr>
            </w:pPr>
            <w:r>
              <w:rPr>
                <w:rFonts w:hint="eastAsia" w:ascii="仿宋_GB2312" w:eastAsia="仿宋_GB2312"/>
              </w:rPr>
              <w:t>10万元</w:t>
            </w:r>
          </w:p>
        </w:tc>
        <w:tc>
          <w:tcPr>
            <w:tcW w:w="2155" w:type="dxa"/>
            <w:shd w:val="clear" w:color="auto" w:fill="auto"/>
            <w:vAlign w:val="center"/>
          </w:tcPr>
          <w:p>
            <w:pPr>
              <w:spacing w:line="300" w:lineRule="exact"/>
              <w:jc w:val="left"/>
              <w:rPr>
                <w:rFonts w:ascii="仿宋_GB2312" w:eastAsia="仿宋_GB2312"/>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协调、解决、处理选民反映的问题</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解决选民反映问题件数占选民反映问题的比率</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≥40百分比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综合满意度</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代表、选民对联络站开展活动满意度</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调查问卷</w:t>
            </w:r>
          </w:p>
        </w:tc>
      </w:tr>
    </w:tbl>
    <w:p>
      <w:pPr>
        <w:ind w:firstLine="562" w:firstLineChars="200"/>
        <w:jc w:val="left"/>
        <w:outlineLvl w:val="1"/>
        <w:rPr>
          <w:rFonts w:ascii="楷体" w:hAnsi="楷体" w:eastAsia="楷体" w:cs="Times New Roman"/>
          <w:b/>
          <w:sz w:val="28"/>
        </w:rPr>
      </w:pPr>
      <w:r>
        <w:rPr>
          <w:rFonts w:hint="eastAsia" w:ascii="楷体" w:hAnsi="楷体" w:eastAsia="楷体" w:cs="Times New Roman"/>
          <w:b/>
          <w:sz w:val="28"/>
        </w:rPr>
        <w:t>6</w:t>
      </w:r>
      <w:r>
        <w:rPr>
          <w:rFonts w:ascii="楷体" w:hAnsi="楷体" w:eastAsia="楷体" w:cs="Times New Roman"/>
          <w:b/>
          <w:sz w:val="28"/>
        </w:rPr>
        <w:t>.</w:t>
      </w:r>
      <w:r>
        <w:rPr>
          <w:rFonts w:hint="eastAsia" w:ascii="楷体" w:hAnsi="楷体" w:eastAsia="楷体" w:cs="Times New Roman"/>
          <w:b/>
          <w:sz w:val="28"/>
        </w:rPr>
        <w:t>代表中心站管理工作</w:t>
      </w:r>
      <w:r>
        <w:rPr>
          <w:rFonts w:ascii="楷体" w:hAnsi="楷体" w:eastAsia="楷体" w:cs="Times New Roman"/>
          <w:b/>
          <w:sz w:val="28"/>
        </w:rPr>
        <w:t>绩效目标表</w:t>
      </w:r>
      <w:r>
        <w:rPr>
          <w:rFonts w:ascii="楷体" w:hAnsi="楷体" w:eastAsia="楷体" w:cs="Times New Roman"/>
          <w:b/>
          <w:sz w:val="28"/>
        </w:rPr>
        <w:fldChar w:fldCharType="begin"/>
      </w:r>
      <w:r>
        <w:rPr>
          <w:rFonts w:ascii="楷体" w:hAnsi="楷体" w:eastAsia="楷体" w:cs="Times New Roman"/>
          <w:b/>
          <w:sz w:val="28"/>
        </w:rPr>
        <w:instrText xml:space="preserve"> TC 2、办公自动化（OA）和督查督办系统升级及推广费绩效目标表 \f C \l 1 </w:instrText>
      </w:r>
      <w:r>
        <w:rPr>
          <w:rFonts w:ascii="楷体" w:hAnsi="楷体" w:eastAsia="楷体" w:cs="Times New Roman"/>
          <w:b/>
          <w:sz w:val="28"/>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仿宋_GB2312" w:eastAsia="仿宋_GB2312"/>
              </w:rPr>
            </w:pPr>
            <w:r>
              <w:rPr>
                <w:rFonts w:hint="eastAsia" w:ascii="仿宋_GB2312" w:eastAsia="仿宋_GB2312" w:hAnsiTheme="minorEastAsia"/>
              </w:rPr>
              <w:t>1、</w:t>
            </w:r>
            <w:r>
              <w:rPr>
                <w:rFonts w:hint="eastAsia" w:ascii="仿宋_GB2312" w:eastAsia="仿宋_GB2312"/>
              </w:rPr>
              <w:t>通过向社会购买服务人员5人，解决人大代表中心站用人紧张问题，确保代表中心站指导各联络站日常活动顺利开展。</w:t>
            </w:r>
          </w:p>
          <w:p>
            <w:pPr>
              <w:spacing w:line="300" w:lineRule="exact"/>
              <w:jc w:val="left"/>
              <w:rPr>
                <w:rFonts w:ascii="仿宋_GB2312" w:hAnsi="Times New Roman" w:eastAsia="仿宋_GB2312" w:cs="Times New Roman"/>
                <w:b/>
              </w:rPr>
            </w:pPr>
            <w:r>
              <w:rPr>
                <w:rFonts w:hint="eastAsia" w:ascii="仿宋_GB2312" w:eastAsia="仿宋_GB2312" w:hAnsiTheme="minorEastAsia"/>
              </w:rPr>
              <w:t>2、</w:t>
            </w:r>
            <w:r>
              <w:rPr>
                <w:rFonts w:hint="eastAsia" w:ascii="仿宋_GB2312" w:eastAsia="仿宋_GB2312"/>
              </w:rPr>
              <w:t>通过向社会购买服务人员5人，解决人大代表中心站用人紧张问题，确保代表中心站指导各联络站日常活动顺利开展。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人数</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聘请政府购买服务人员数量</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≤5人</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工作时长</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每日工作时间</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≤7.5小时</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正常运行比率</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正常工作天数占应开展天数百分比</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100百分比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总成本</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年度总成本</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10万元</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关于人大代表中心站管理工作经费列入年度预算的请示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天数</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正常运行天数占全年工作天数的百分比</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综合满意度</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代表中心站负责人对聘用人员满意度</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调查问卷</w:t>
            </w:r>
          </w:p>
        </w:tc>
      </w:tr>
    </w:tbl>
    <w:p>
      <w:pPr>
        <w:ind w:firstLine="562" w:firstLineChars="200"/>
        <w:jc w:val="left"/>
        <w:outlineLvl w:val="1"/>
        <w:rPr>
          <w:rFonts w:ascii="楷体" w:hAnsi="楷体" w:eastAsia="楷体" w:cs="Times New Roman"/>
          <w:b/>
          <w:sz w:val="28"/>
        </w:rPr>
      </w:pPr>
      <w:r>
        <w:rPr>
          <w:rFonts w:hint="eastAsia" w:ascii="楷体" w:hAnsi="楷体" w:eastAsia="楷体" w:cs="Times New Roman"/>
          <w:b/>
          <w:sz w:val="28"/>
        </w:rPr>
        <w:t>7</w:t>
      </w:r>
      <w:r>
        <w:rPr>
          <w:rFonts w:ascii="楷体" w:hAnsi="楷体" w:eastAsia="楷体" w:cs="Times New Roman"/>
          <w:b/>
          <w:sz w:val="28"/>
        </w:rPr>
        <w:t>.</w:t>
      </w:r>
      <w:r>
        <w:rPr>
          <w:rFonts w:hint="eastAsia" w:ascii="楷体" w:hAnsi="楷体" w:eastAsia="楷体" w:cs="Times New Roman"/>
          <w:b/>
          <w:sz w:val="28"/>
        </w:rPr>
        <w:t>人大立法工作经费</w:t>
      </w:r>
      <w:r>
        <w:rPr>
          <w:rFonts w:ascii="楷体" w:hAnsi="楷体" w:eastAsia="楷体" w:cs="Times New Roman"/>
          <w:b/>
          <w:sz w:val="28"/>
        </w:rPr>
        <w:t>绩效目标表</w:t>
      </w:r>
      <w:r>
        <w:rPr>
          <w:rFonts w:ascii="楷体" w:hAnsi="楷体" w:eastAsia="楷体" w:cs="Times New Roman"/>
          <w:b/>
          <w:sz w:val="28"/>
        </w:rPr>
        <w:fldChar w:fldCharType="begin"/>
      </w:r>
      <w:r>
        <w:rPr>
          <w:rFonts w:ascii="楷体" w:hAnsi="楷体" w:eastAsia="楷体" w:cs="Times New Roman"/>
          <w:b/>
          <w:sz w:val="28"/>
        </w:rPr>
        <w:instrText xml:space="preserve"> TC 2、办公自动化（OA）和督查督办系统升级及推广费绩效目标表 \f C \l 1 </w:instrText>
      </w:r>
      <w:r>
        <w:rPr>
          <w:rFonts w:ascii="楷体" w:hAnsi="楷体" w:eastAsia="楷体" w:cs="Times New Roman"/>
          <w:b/>
          <w:sz w:val="28"/>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仿宋_GB2312" w:eastAsia="仿宋_GB2312"/>
              </w:rPr>
            </w:pPr>
            <w:r>
              <w:rPr>
                <w:rFonts w:hint="eastAsia" w:ascii="仿宋_GB2312" w:eastAsia="仿宋_GB2312"/>
              </w:rPr>
              <w:t>1、1、完成《全域旅游条例》《环境保护条例》的宣传贯彻；2、组织开展调研，学习其他地区先进工作经验；3、通过立、改、废、试等多种手段，使我们的法律体系更加具备协调性、系统性、完备性。</w:t>
            </w:r>
          </w:p>
          <w:p>
            <w:pPr>
              <w:spacing w:line="300" w:lineRule="exact"/>
              <w:rPr>
                <w:rFonts w:ascii="仿宋_GB2312" w:hAnsi="Times New Roman" w:eastAsia="仿宋_GB2312" w:cs="Times New Roman"/>
                <w:b/>
              </w:rPr>
            </w:pPr>
            <w:r>
              <w:rPr>
                <w:rFonts w:hint="eastAsia" w:ascii="仿宋_GB2312" w:eastAsia="仿宋_GB2312"/>
              </w:rPr>
              <w:t>2、1、完成《全域旅游条例》《环境保护条例》的宣传贯彻；2、组织开展调研，学习其他地区先进工作经验；3、通过立、改、废、试等多种手段，使我们的法律体系更加具备协调性、系统性、完备性。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次数</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立法工作的调研次数</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≥1次</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覆盖率</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宣传企事业单位覆盖率</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≥80百分比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总成本</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年度总成本</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10万元</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完成时间</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完成时间</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≤10月份</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知晓率</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企事业单位对新条例知晓情况所占比率</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≥80百分比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综合满意度</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企事业单位对立法工作满意度</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调查问卷</w:t>
            </w:r>
          </w:p>
        </w:tc>
      </w:tr>
    </w:tbl>
    <w:p>
      <w:pPr>
        <w:ind w:firstLine="562" w:firstLineChars="200"/>
        <w:jc w:val="left"/>
        <w:outlineLvl w:val="1"/>
        <w:rPr>
          <w:rFonts w:ascii="Times New Roman" w:hAnsi="Times New Roman" w:eastAsia="仿宋_GB2312" w:cs="Times New Roman"/>
        </w:rPr>
      </w:pPr>
      <w:r>
        <w:rPr>
          <w:rFonts w:hint="eastAsia" w:ascii="楷体" w:hAnsi="楷体" w:eastAsia="楷体" w:cs="Times New Roman"/>
          <w:b/>
          <w:sz w:val="28"/>
        </w:rPr>
        <w:t>8</w:t>
      </w:r>
      <w:r>
        <w:rPr>
          <w:rFonts w:ascii="楷体" w:hAnsi="楷体" w:eastAsia="楷体" w:cs="Times New Roman"/>
          <w:b/>
          <w:sz w:val="28"/>
        </w:rPr>
        <w:t>.</w:t>
      </w:r>
      <w:r>
        <w:rPr>
          <w:rFonts w:hint="eastAsia" w:ascii="楷体" w:hAnsi="楷体" w:eastAsia="楷体" w:cs="Times New Roman"/>
          <w:b/>
          <w:sz w:val="28"/>
        </w:rPr>
        <w:t>人大网站运行维护费</w:t>
      </w:r>
      <w:r>
        <w:rPr>
          <w:rFonts w:ascii="楷体" w:hAnsi="楷体" w:eastAsia="楷体" w:cs="Times New Roman"/>
          <w:b/>
          <w:sz w:val="28"/>
        </w:rPr>
        <w:t>绩效目标表</w:t>
      </w:r>
      <w:r>
        <w:rPr>
          <w:rFonts w:ascii="Times New Roman" w:hAnsi="Times New Roman" w:eastAsia="仿宋_GB2312" w:cs="Times New Roman"/>
        </w:rPr>
        <w:fldChar w:fldCharType="begin"/>
      </w:r>
      <w:r>
        <w:rPr>
          <w:rFonts w:ascii="Times New Roman" w:hAnsi="Times New Roman" w:eastAsia="仿宋_GB2312" w:cs="Times New Roman"/>
        </w:rPr>
        <w:instrText xml:space="preserve"> TC 2、办公自动化（OA）和督查督办系统升级及推广费绩效目标表 \f C \l 1 </w:instrText>
      </w:r>
      <w:r>
        <w:rPr>
          <w:rFonts w:ascii="Times New Roman" w:hAnsi="Times New Roman" w:eastAsia="仿宋_GB2312" w:cs="Times New Roman"/>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仿宋_GB2312" w:eastAsia="仿宋_GB2312"/>
              </w:rPr>
            </w:pPr>
            <w:r>
              <w:rPr>
                <w:rFonts w:hint="eastAsia" w:ascii="仿宋_GB2312" w:eastAsia="仿宋_GB2312"/>
              </w:rPr>
              <w:t>1、通过人大网站运行维护项目，保障大厂县人大拥有独立的门户网站，符合省人大对信息建设的要求。</w:t>
            </w:r>
          </w:p>
          <w:p>
            <w:pPr>
              <w:spacing w:line="300" w:lineRule="exact"/>
              <w:rPr>
                <w:rFonts w:ascii="仿宋_GB2312" w:hAnsi="Times New Roman" w:eastAsia="仿宋_GB2312" w:cs="Times New Roman"/>
                <w:b/>
              </w:rPr>
            </w:pPr>
            <w:r>
              <w:rPr>
                <w:rFonts w:hint="eastAsia" w:ascii="仿宋_GB2312" w:eastAsia="仿宋_GB2312"/>
              </w:rPr>
              <w:t>2、通过人大网站运行维护项目，保障大厂县人大拥有独立的门户网站，符合省人大对信息建设的要求。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维护数量</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网站维护数量</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≤0套</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系统正常运行率</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网站能够正常运行</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完成时间</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完成时间</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≤12月份</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总成本</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年度总成本</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1万元</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社会效益指标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满足正常工作</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满足正常工作天数占全年工作天数百分比</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≥95百分比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满意度指标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综合满意度</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使用人员满意度</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调查问卷</w:t>
            </w:r>
          </w:p>
        </w:tc>
      </w:tr>
    </w:tbl>
    <w:p>
      <w:pPr>
        <w:ind w:firstLine="562" w:firstLineChars="200"/>
        <w:jc w:val="left"/>
        <w:outlineLvl w:val="1"/>
        <w:rPr>
          <w:rFonts w:ascii="楷体" w:hAnsi="楷体" w:eastAsia="楷体" w:cs="Times New Roman"/>
          <w:b/>
          <w:sz w:val="28"/>
        </w:rPr>
      </w:pPr>
      <w:r>
        <w:rPr>
          <w:rFonts w:hint="eastAsia" w:ascii="楷体" w:hAnsi="楷体" w:eastAsia="楷体" w:cs="Times New Roman"/>
          <w:b/>
          <w:sz w:val="28"/>
        </w:rPr>
        <w:t>9</w:t>
      </w:r>
      <w:r>
        <w:rPr>
          <w:rFonts w:ascii="楷体" w:hAnsi="楷体" w:eastAsia="楷体" w:cs="Times New Roman"/>
          <w:b/>
          <w:sz w:val="28"/>
        </w:rPr>
        <w:t>.</w:t>
      </w:r>
      <w:r>
        <w:rPr>
          <w:rFonts w:hint="eastAsia" w:ascii="楷体" w:hAnsi="楷体" w:eastAsia="楷体" w:cs="Times New Roman"/>
          <w:b/>
          <w:sz w:val="28"/>
        </w:rPr>
        <w:t>县人代会经费</w:t>
      </w:r>
      <w:r>
        <w:rPr>
          <w:rFonts w:ascii="楷体" w:hAnsi="楷体" w:eastAsia="楷体" w:cs="Times New Roman"/>
          <w:b/>
          <w:sz w:val="28"/>
        </w:rPr>
        <w:t>绩效目标表</w:t>
      </w:r>
      <w:r>
        <w:rPr>
          <w:rFonts w:ascii="楷体" w:hAnsi="楷体" w:eastAsia="楷体" w:cs="Times New Roman"/>
          <w:b/>
          <w:sz w:val="28"/>
        </w:rPr>
        <w:fldChar w:fldCharType="begin"/>
      </w:r>
      <w:r>
        <w:rPr>
          <w:rFonts w:ascii="楷体" w:hAnsi="楷体" w:eastAsia="楷体" w:cs="Times New Roman"/>
          <w:b/>
          <w:sz w:val="28"/>
        </w:rPr>
        <w:instrText xml:space="preserve"> TC 2、办公自动化（OA）和督查督办系统升级及推广费绩效目标表 \f C \l 1 </w:instrText>
      </w:r>
      <w:r>
        <w:rPr>
          <w:rFonts w:ascii="楷体" w:hAnsi="楷体" w:eastAsia="楷体" w:cs="Times New Roman"/>
          <w:b/>
          <w:sz w:val="28"/>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仿宋_GB2312" w:eastAsia="仿宋_GB2312"/>
              </w:rPr>
            </w:pPr>
            <w:r>
              <w:rPr>
                <w:rFonts w:hint="eastAsia" w:ascii="仿宋_GB2312" w:eastAsia="仿宋_GB2312"/>
              </w:rPr>
              <w:t>1、保障大厂回族自治县第十六届人民代表大会第四次会议顺利召开，圆满闭幕。</w:t>
            </w:r>
          </w:p>
          <w:p>
            <w:pPr>
              <w:spacing w:line="300" w:lineRule="exact"/>
              <w:rPr>
                <w:rFonts w:ascii="仿宋_GB2312" w:hAnsi="Times New Roman" w:eastAsia="仿宋_GB2312" w:cs="Times New Roman"/>
                <w:b/>
              </w:rPr>
            </w:pPr>
            <w:r>
              <w:rPr>
                <w:rFonts w:hint="eastAsia" w:ascii="仿宋_GB2312" w:eastAsia="仿宋_GB2312"/>
              </w:rPr>
              <w:t>2、1、召集县人民代表大会会议； 2、组织县人民代表大会各项会务工作，确保会议食宿、会议室租赁、会场布置、会议前期等各项筹备工作圆满完成；3、保障大会各项议程圆满完成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一级指标</w:t>
            </w:r>
          </w:p>
        </w:tc>
        <w:tc>
          <w:tcPr>
            <w:tcW w:w="2268"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二级指标</w:t>
            </w:r>
          </w:p>
        </w:tc>
        <w:tc>
          <w:tcPr>
            <w:tcW w:w="198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三级指标</w:t>
            </w:r>
          </w:p>
        </w:tc>
        <w:tc>
          <w:tcPr>
            <w:tcW w:w="3402"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绩效指标描述</w:t>
            </w:r>
          </w:p>
        </w:tc>
        <w:tc>
          <w:tcPr>
            <w:tcW w:w="1843"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w:t>
            </w:r>
          </w:p>
        </w:tc>
        <w:tc>
          <w:tcPr>
            <w:tcW w:w="2155" w:type="dxa"/>
            <w:shd w:val="clear" w:color="auto" w:fill="auto"/>
            <w:vAlign w:val="center"/>
          </w:tcPr>
          <w:p>
            <w:pPr>
              <w:spacing w:line="300" w:lineRule="exact"/>
              <w:jc w:val="center"/>
              <w:rPr>
                <w:rFonts w:ascii="仿宋_GB2312" w:hAnsi="Times New Roman" w:eastAsia="仿宋_GB2312" w:cs="Times New Roman"/>
                <w:b/>
              </w:rPr>
            </w:pPr>
            <w:r>
              <w:rPr>
                <w:rFonts w:hint="eastAsia" w:ascii="仿宋_GB2312"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产出指标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数量指标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人数</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参会人数</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≤350人</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成本指标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总成本</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年度总成本</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22.86万元</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质量指标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人代会正常运行天数</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人代会正常运行天数</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≤3天</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仿宋_GB2312" w:hAnsi="Times New Roman" w:eastAsia="仿宋_GB2312" w:cs="Times New Roman"/>
              </w:rPr>
            </w:pP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时效指标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完成时间</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大会预计于2020年1-3月召开</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≤3月份</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Times New Roman" w:eastAsia="仿宋_GB2312" w:cs="Times New Roman"/>
              </w:rPr>
            </w:pPr>
            <w:r>
              <w:rPr>
                <w:rFonts w:hint="eastAsia" w:ascii="仿宋_GB2312" w:hAnsi="Times New Roman" w:eastAsia="仿宋_GB2312" w:cs="Times New Roman"/>
              </w:rPr>
              <w:t>效果指标</w:t>
            </w:r>
          </w:p>
        </w:tc>
        <w:tc>
          <w:tcPr>
            <w:tcW w:w="2268"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服务对象满意度指标</w:t>
            </w:r>
          </w:p>
        </w:tc>
        <w:tc>
          <w:tcPr>
            <w:tcW w:w="198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群众满意度</w:t>
            </w:r>
          </w:p>
        </w:tc>
        <w:tc>
          <w:tcPr>
            <w:tcW w:w="3402"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群众满意数量占总数的比例。</w:t>
            </w:r>
          </w:p>
        </w:tc>
        <w:tc>
          <w:tcPr>
            <w:tcW w:w="1843"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≥90百分比</w:t>
            </w:r>
          </w:p>
        </w:tc>
        <w:tc>
          <w:tcPr>
            <w:tcW w:w="2155" w:type="dxa"/>
            <w:shd w:val="clear" w:color="auto" w:fill="auto"/>
            <w:vAlign w:val="center"/>
          </w:tcPr>
          <w:p>
            <w:pPr>
              <w:spacing w:line="300" w:lineRule="exact"/>
              <w:jc w:val="left"/>
              <w:rPr>
                <w:rFonts w:ascii="仿宋_GB2312" w:hAnsi="Times New Roman" w:eastAsia="仿宋_GB2312" w:cs="Times New Roman"/>
              </w:rPr>
            </w:pPr>
            <w:r>
              <w:rPr>
                <w:rFonts w:hint="eastAsia" w:ascii="仿宋_GB2312" w:eastAsia="仿宋_GB2312"/>
              </w:rP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ind w:firstLine="640" w:firstLineChars="200"/>
        <w:outlineLvl w:val="0"/>
        <w:rPr>
          <w:rFonts w:ascii="仿宋_GB2312" w:hAnsi="Times New Roman" w:eastAsia="仿宋_GB2312" w:cs="Times New Roman"/>
          <w:sz w:val="32"/>
          <w:szCs w:val="32"/>
        </w:rPr>
      </w:pPr>
      <w:bookmarkStart w:id="1" w:name="_Toc471398468"/>
      <w:r>
        <w:rPr>
          <w:rFonts w:hint="eastAsia" w:ascii="仿宋_GB2312" w:hAnsi="Times New Roman" w:eastAsia="仿宋_GB2312" w:cs="Times New Roman"/>
          <w:sz w:val="32"/>
          <w:szCs w:val="24"/>
        </w:rPr>
        <w:t>2020年，</w:t>
      </w:r>
      <w:r>
        <w:rPr>
          <w:rFonts w:hint="eastAsia" w:ascii="仿宋_GB2312" w:hAnsi="仿宋" w:eastAsia="仿宋_GB2312" w:cs="仿宋"/>
          <w:sz w:val="32"/>
          <w:szCs w:val="32"/>
        </w:rPr>
        <w:t>我单位无政府采购预算。</w:t>
      </w:r>
    </w:p>
    <w:bookmarkEnd w:id="1"/>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仿宋_GB2312" w:hAnsi="Times New Roman" w:eastAsia="仿宋_GB2312" w:cs="Times New Roman"/>
          <w:sz w:val="32"/>
          <w:szCs w:val="32"/>
        </w:rPr>
      </w:pPr>
      <w:r>
        <w:rPr>
          <w:rFonts w:hint="eastAsia" w:ascii="仿宋_GB2312" w:hAnsi="仿宋" w:eastAsia="仿宋_GB2312" w:cs="仿宋"/>
          <w:color w:val="000000"/>
          <w:sz w:val="32"/>
          <w:szCs w:val="32"/>
        </w:rPr>
        <w:t>大厂回族自治县人民代表大会常务委员会</w:t>
      </w:r>
      <w:r>
        <w:rPr>
          <w:rFonts w:hint="eastAsia" w:ascii="仿宋_GB2312" w:hAnsi="Times New Roman" w:eastAsia="仿宋_GB2312" w:cs="Times New Roman"/>
          <w:sz w:val="32"/>
          <w:szCs w:val="32"/>
        </w:rPr>
        <w:t>（含所属单位）上年末固定资产金额为242.54万元，</w:t>
      </w:r>
      <w:r>
        <w:rPr>
          <w:rFonts w:hint="eastAsia" w:ascii="仿宋_GB2312" w:hAnsi="仿宋" w:eastAsia="仿宋_GB2312" w:cs="仿宋"/>
          <w:sz w:val="32"/>
          <w:szCs w:val="32"/>
        </w:rPr>
        <w:t>本年度无拟购置固定资产</w:t>
      </w:r>
      <w:r>
        <w:rPr>
          <w:rFonts w:hint="eastAsia" w:ascii="仿宋_GB2312"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大厂回族自治县人民代表大会常务委员会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242.54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highlight w:val="yellow"/>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10CB7"/>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04BA7"/>
    <w:rsid w:val="00123A3A"/>
    <w:rsid w:val="001245BB"/>
    <w:rsid w:val="001251A3"/>
    <w:rsid w:val="00143193"/>
    <w:rsid w:val="00160266"/>
    <w:rsid w:val="00160921"/>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E114A"/>
    <w:rsid w:val="002F3A53"/>
    <w:rsid w:val="002F3E58"/>
    <w:rsid w:val="0030542C"/>
    <w:rsid w:val="003075D4"/>
    <w:rsid w:val="00311B7A"/>
    <w:rsid w:val="003126B6"/>
    <w:rsid w:val="00313D9C"/>
    <w:rsid w:val="00314231"/>
    <w:rsid w:val="00325215"/>
    <w:rsid w:val="003324AC"/>
    <w:rsid w:val="0033339C"/>
    <w:rsid w:val="003442A2"/>
    <w:rsid w:val="003606C5"/>
    <w:rsid w:val="0036386B"/>
    <w:rsid w:val="00371FDA"/>
    <w:rsid w:val="00377D7A"/>
    <w:rsid w:val="0039520A"/>
    <w:rsid w:val="003A7CAD"/>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03787"/>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D2E6F"/>
    <w:rsid w:val="008E0AD8"/>
    <w:rsid w:val="008E4261"/>
    <w:rsid w:val="008E70D4"/>
    <w:rsid w:val="008F4662"/>
    <w:rsid w:val="0090563F"/>
    <w:rsid w:val="00905D08"/>
    <w:rsid w:val="009161E4"/>
    <w:rsid w:val="00920F22"/>
    <w:rsid w:val="00923F0E"/>
    <w:rsid w:val="009254A0"/>
    <w:rsid w:val="00925753"/>
    <w:rsid w:val="00932F6D"/>
    <w:rsid w:val="00936DDD"/>
    <w:rsid w:val="00937F8B"/>
    <w:rsid w:val="009425F4"/>
    <w:rsid w:val="00943BD8"/>
    <w:rsid w:val="00954B2C"/>
    <w:rsid w:val="0096626E"/>
    <w:rsid w:val="00966C5C"/>
    <w:rsid w:val="00966E5A"/>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A56DD"/>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B6AE4"/>
    <w:rsid w:val="00CC75B0"/>
    <w:rsid w:val="00CD2773"/>
    <w:rsid w:val="00CD3C04"/>
    <w:rsid w:val="00CE01BA"/>
    <w:rsid w:val="00CE143B"/>
    <w:rsid w:val="00CE3A91"/>
    <w:rsid w:val="00D07DBA"/>
    <w:rsid w:val="00D23C16"/>
    <w:rsid w:val="00D27003"/>
    <w:rsid w:val="00D324AD"/>
    <w:rsid w:val="00D83781"/>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562E4"/>
    <w:rsid w:val="00F66032"/>
    <w:rsid w:val="00F70A86"/>
    <w:rsid w:val="00F72DE3"/>
    <w:rsid w:val="00F83B96"/>
    <w:rsid w:val="00F8441D"/>
    <w:rsid w:val="00F87C1E"/>
    <w:rsid w:val="00F958C2"/>
    <w:rsid w:val="00FA6FE9"/>
    <w:rsid w:val="00FA740E"/>
    <w:rsid w:val="00FC06C7"/>
    <w:rsid w:val="00FD5DB4"/>
    <w:rsid w:val="00FE1724"/>
    <w:rsid w:val="00FE4F45"/>
    <w:rsid w:val="00FE753C"/>
    <w:rsid w:val="00FF2162"/>
    <w:rsid w:val="00FF2346"/>
    <w:rsid w:val="0522789C"/>
    <w:rsid w:val="18027120"/>
    <w:rsid w:val="1A1D4E40"/>
    <w:rsid w:val="1DB9158D"/>
    <w:rsid w:val="1F142A60"/>
    <w:rsid w:val="24614C70"/>
    <w:rsid w:val="25DD4E82"/>
    <w:rsid w:val="270770BF"/>
    <w:rsid w:val="34843441"/>
    <w:rsid w:val="3D1E6A80"/>
    <w:rsid w:val="3DFD1E39"/>
    <w:rsid w:val="3E0E2BC6"/>
    <w:rsid w:val="48866D68"/>
    <w:rsid w:val="65C85A74"/>
    <w:rsid w:val="6CCD68F4"/>
    <w:rsid w:val="73D62E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Hyperlink"/>
    <w:basedOn w:val="9"/>
    <w:unhideWhenUsed/>
    <w:qFormat/>
    <w:uiPriority w:val="99"/>
    <w:rPr>
      <w:color w:val="0000FF"/>
      <w:u w:val="single"/>
    </w:rPr>
  </w:style>
  <w:style w:type="character" w:styleId="11">
    <w:name w:val="footnote reference"/>
    <w:semiHidden/>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1248</Words>
  <Characters>7118</Characters>
  <Lines>59</Lines>
  <Paragraphs>16</Paragraphs>
  <TotalTime>44</TotalTime>
  <ScaleCrop>false</ScaleCrop>
  <LinksUpToDate>false</LinksUpToDate>
  <CharactersWithSpaces>8350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Administrator</cp:lastModifiedBy>
  <cp:lastPrinted>2018-01-30T06:12:00Z</cp:lastPrinted>
  <dcterms:modified xsi:type="dcterms:W3CDTF">2024-01-02T02:06:14Z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46A722AEAA234B85B76C624CFD30C41B</vt:lpwstr>
  </property>
</Properties>
</file>